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pacing w:lineRule="auto" w:line="240" w:before="0" w:after="0"/>
        <w:ind w:firstLine="567"/>
        <w:jc w:val="right"/>
        <w:textAlignment w:val="baseline"/>
        <w:rPr>
          <w:rFonts w:ascii="Times New Roman" w:hAnsi="Times New Roman" w:eastAsia="Times New Roman" w:cs="Times New Roman"/>
          <w:sz w:val="24"/>
          <w:szCs w:val="20"/>
        </w:rPr>
      </w:pPr>
      <w:bookmarkStart w:id="0" w:name="_Hlk110579148"/>
      <w:r>
        <w:rPr>
          <w:rFonts w:eastAsia="Times New Roman" w:cs="Times New Roman" w:ascii="Times New Roman" w:hAnsi="Times New Roman"/>
          <w:sz w:val="24"/>
          <w:szCs w:val="20"/>
        </w:rPr>
        <w:t>Pielikums</w:t>
      </w:r>
    </w:p>
    <w:p>
      <w:pPr>
        <w:pStyle w:val="Normal"/>
        <w:overflowPunct w:val="true"/>
        <w:spacing w:lineRule="auto" w:line="240" w:before="0" w:after="0"/>
        <w:jc w:val="right"/>
        <w:textAlignment w:val="baseline"/>
        <w:rPr>
          <w:rFonts w:ascii="Times New Roman" w:hAnsi="Times New Roman" w:eastAsia="Times New Roman" w:cs="Times New Roman"/>
          <w:szCs w:val="20"/>
          <w:u w:val="single"/>
        </w:rPr>
      </w:pPr>
      <w:r>
        <w:rPr>
          <w:rFonts w:eastAsia="Times New Roman" w:cs="Times New Roman" w:ascii="Times New Roman" w:hAnsi="Times New Roman"/>
          <w:sz w:val="24"/>
          <w:szCs w:val="20"/>
        </w:rPr>
        <w:t>Talsu novada pašvaldības</w:t>
      </w:r>
    </w:p>
    <w:p>
      <w:pPr>
        <w:pStyle w:val="Normal"/>
        <w:spacing w:lineRule="auto" w:line="240" w:before="0" w:after="0"/>
        <w:jc w:val="right"/>
        <w:rPr>
          <w:rFonts w:ascii="Times New Roman" w:hAnsi="Times New Roman" w:cs="Times New Roman"/>
          <w:sz w:val="28"/>
          <w:szCs w:val="28"/>
        </w:rPr>
      </w:pPr>
      <w:bookmarkStart w:id="1" w:name="docDate"/>
      <w:bookmarkEnd w:id="1"/>
      <w:r>
        <w:rPr>
          <w:rFonts w:eastAsia="Calibri" w:cs="Times New Roman" w:ascii="Times New Roman" w:hAnsi="Times New Roman"/>
          <w:sz w:val="24"/>
          <w:szCs w:val="24"/>
        </w:rPr>
        <w:t>26.01.2023.</w:t>
      </w:r>
      <w:r>
        <w:rPr>
          <w:rFonts w:eastAsia="Times New Roman" w:cs="Times New Roman" w:ascii="Times New Roman" w:hAnsi="Times New Roman"/>
          <w:sz w:val="24"/>
          <w:szCs w:val="20"/>
        </w:rPr>
        <w:t xml:space="preserve"> lēmumam </w:t>
      </w:r>
      <w:r>
        <w:rPr>
          <w:rFonts w:eastAsia="Calibri" w:cs="Times New Roman" w:ascii="Times New Roman" w:hAnsi="Times New Roman"/>
          <w:sz w:val="24"/>
          <w:szCs w:val="24"/>
        </w:rPr>
        <w:t>Nr. TNPCA/23/16-7.7/11/KTL</w:t>
      </w:r>
    </w:p>
    <w:p>
      <w:pPr>
        <w:pStyle w:val="Normal"/>
        <w:spacing w:lineRule="auto" w:line="240" w:before="0" w:after="0"/>
        <w:jc w:val="center"/>
        <w:rPr>
          <w:rFonts w:ascii="Times New Roman" w:hAnsi="Times New Roman" w:cs="Times New Roman"/>
          <w:b/>
          <w:sz w:val="36"/>
          <w:szCs w:val="36"/>
        </w:rPr>
      </w:pPr>
      <w:r>
        <w:rPr>
          <w:rFonts w:cs="Times New Roman" w:ascii="Times New Roman" w:hAnsi="Times New Roman"/>
          <w:b/>
          <w:sz w:val="36"/>
          <w:szCs w:val="36"/>
        </w:rPr>
      </w:r>
    </w:p>
    <w:p>
      <w:pPr>
        <w:pStyle w:val="Normal"/>
        <w:spacing w:lineRule="auto" w:line="240" w:before="0" w:after="0"/>
        <w:jc w:val="center"/>
        <w:rPr>
          <w:rFonts w:ascii="Times New Roman" w:hAnsi="Times New Roman" w:cs="Times New Roman"/>
          <w:b/>
          <w:sz w:val="36"/>
          <w:szCs w:val="36"/>
        </w:rPr>
      </w:pPr>
      <w:r>
        <w:rPr>
          <w:rFonts w:cs="Times New Roman" w:ascii="Times New Roman" w:hAnsi="Times New Roman"/>
          <w:b/>
          <w:sz w:val="36"/>
          <w:szCs w:val="36"/>
        </w:rPr>
      </w:r>
    </w:p>
    <w:p>
      <w:pPr>
        <w:pStyle w:val="Normal"/>
        <w:spacing w:lineRule="auto" w:line="240" w:before="0" w:after="0"/>
        <w:jc w:val="center"/>
        <w:rPr>
          <w:rFonts w:ascii="Times New Roman" w:hAnsi="Times New Roman" w:cs="Times New Roman"/>
          <w:b/>
          <w:sz w:val="36"/>
          <w:szCs w:val="36"/>
        </w:rPr>
      </w:pPr>
      <w:r>
        <w:rPr>
          <w:rFonts w:cs="Times New Roman" w:ascii="Times New Roman" w:hAnsi="Times New Roman"/>
          <w:b/>
          <w:sz w:val="36"/>
          <w:szCs w:val="36"/>
        </w:rPr>
      </w:r>
    </w:p>
    <w:p>
      <w:pPr>
        <w:pStyle w:val="Normal"/>
        <w:spacing w:lineRule="auto" w:line="240" w:before="0" w:after="0"/>
        <w:jc w:val="center"/>
        <w:rPr>
          <w:rFonts w:ascii="Times New Roman" w:hAnsi="Times New Roman" w:cs="Times New Roman"/>
          <w:b/>
          <w:sz w:val="36"/>
          <w:szCs w:val="36"/>
        </w:rPr>
      </w:pPr>
      <w:r>
        <w:rPr>
          <w:rFonts w:cs="Times New Roman" w:ascii="Times New Roman" w:hAnsi="Times New Roman"/>
          <w:b/>
          <w:sz w:val="36"/>
          <w:szCs w:val="36"/>
        </w:rPr>
        <w:t>SIA “Rojas DzKU”</w:t>
      </w:r>
      <w:bookmarkStart w:id="2" w:name="_GoBack"/>
      <w:bookmarkEnd w:id="2"/>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36"/>
          <w:szCs w:val="44"/>
        </w:rPr>
      </w:pPr>
      <w:r>
        <w:rPr>
          <w:rFonts w:cs="Times New Roman" w:ascii="Times New Roman" w:hAnsi="Times New Roman"/>
          <w:sz w:val="36"/>
          <w:szCs w:val="44"/>
        </w:rPr>
        <w:t>STATŪTI</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(jaunā redakcija)</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Talsos, 2023</w:t>
      </w:r>
    </w:p>
    <w:p>
      <w:pPr>
        <w:sectPr>
          <w:footerReference w:type="default" r:id="rId2"/>
          <w:type w:val="nextPage"/>
          <w:pgSz w:w="11906" w:h="16838"/>
          <w:pgMar w:left="1800" w:right="1133" w:gutter="0" w:header="0" w:top="1440" w:footer="708" w:bottom="1440"/>
          <w:pgNumType w:fmt="decimal"/>
          <w:formProt w:val="false"/>
          <w:textDirection w:val="lrTb"/>
          <w:docGrid w:type="default" w:linePitch="360" w:charSpace="4096"/>
        </w:sect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center"/>
        <w:rPr>
          <w:rFonts w:ascii="Times New Roman" w:hAnsi="Times New Roman" w:cs="Times New Roman"/>
          <w:b/>
          <w:sz w:val="24"/>
          <w:szCs w:val="24"/>
        </w:rPr>
      </w:pPr>
      <w:r>
        <w:rPr>
          <w:rFonts w:cs="Times New Roman" w:ascii="Times New Roman" w:hAnsi="Times New Roman"/>
          <w:b/>
          <w:sz w:val="24"/>
          <w:szCs w:val="24"/>
        </w:rPr>
        <w:t>Vispārīgie noteikumi</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Sabiedrības firma ir </w:t>
      </w:r>
      <w:r>
        <w:rPr>
          <w:rFonts w:cs="Times New Roman" w:ascii="Times New Roman" w:hAnsi="Times New Roman"/>
          <w:b/>
          <w:sz w:val="24"/>
          <w:szCs w:val="24"/>
        </w:rPr>
        <w:t>SIA “Rojas DzKU”</w:t>
      </w:r>
      <w:r>
        <w:rPr>
          <w:rFonts w:cs="Times New Roman" w:ascii="Times New Roman" w:hAnsi="Times New Roman"/>
          <w:sz w:val="24"/>
          <w:szCs w:val="24"/>
        </w:rPr>
        <w:t xml:space="preserve"> (turpmāk – sabiedrība).</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Sabiedrības komercdarbības veidi (NACE klasifikators):</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02.Mežsaimniecība un mežizstrāde;</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16.1. Zāģēšana, ēvelēšana un imprignēšana;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16.24. Koka taras ražošana;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 Mēbeļu ražošana;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35.3. Tvaika piegāde un gaisa kondicionēšana;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36. Ūdens ieguve, attīrīšana un apgāde;</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37. Notekūdeņu savākšana un attīrīšana;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38. Atkritumu savākšana, apstrāde un izvietošana, materiālu apstrāde;</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 Ēku būvniecība;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42.2. Pilsētsaimniecības infrastruktūras objektu būvniecība;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43. Specializētie būvdarbi;</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43.1. Ēku nojaukšana un būvlaukuma sagatavošana;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43.3. Būvdarbu pabeigšana;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43.9. Citi specializētie būvdarbi;</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43.99. Citur neklasificēti specializētie būvdarbi;</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45.2. Automobiļu apkope un remonts;</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47. Mazumtirdzniecība, izņemot automobiļus un motociklus;</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49.4. Kravu pārvadājumi pa autoceļiem;</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49.42. Individuālie kravu pārvadāšanas pakalpojumi;</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52.1. Uzglabāšana un noliktavu saimniecība;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52.2. Transporta palīgdarbības;</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68.2 </w:t>
      </w:r>
      <w:r>
        <w:rPr>
          <w:rFonts w:cs="Times New Roman" w:ascii="Times New Roman" w:hAnsi="Times New Roman"/>
          <w:sz w:val="24"/>
          <w:szCs w:val="24"/>
          <w:shd w:fill="FFFFFF" w:val="clear"/>
        </w:rPr>
        <w:t>Sava vai nomāta nekustamā īpašuma izīrēšana un pārvaldīšana</w:t>
      </w:r>
      <w:r>
        <w:rPr>
          <w:rFonts w:cs="Times New Roman" w:ascii="Times New Roman" w:hAnsi="Times New Roman"/>
          <w:sz w:val="24"/>
          <w:szCs w:val="24"/>
        </w:rPr>
        <w:t>;</w:t>
      </w:r>
    </w:p>
    <w:p>
      <w:pPr>
        <w:pStyle w:val="ListParagraph"/>
        <w:numPr>
          <w:ilvl w:val="1"/>
          <w:numId w:val="2"/>
        </w:numPr>
        <w:spacing w:lineRule="auto" w:line="240" w:before="0" w:after="0"/>
        <w:ind w:left="1418" w:hanging="698"/>
        <w:contextualSpacing/>
        <w:rPr>
          <w:rFonts w:ascii="Times New Roman" w:hAnsi="Times New Roman" w:cs="Times New Roman"/>
          <w:sz w:val="24"/>
          <w:szCs w:val="24"/>
        </w:rPr>
      </w:pPr>
      <w:r>
        <w:rPr>
          <w:rFonts w:cs="Times New Roman" w:ascii="Times New Roman" w:hAnsi="Times New Roman"/>
          <w:sz w:val="24"/>
          <w:szCs w:val="24"/>
        </w:rPr>
        <w:t>68.32. Nekustamā īpašuma pārvaldīšana par atlīdzību vai uz līguma pamata;</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71.2. Tehniskā pārbaude un analīze;</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77.1. Automobiļu iznomāšana un ekspluatācijas līzings;</w:t>
      </w:r>
    </w:p>
    <w:p>
      <w:pPr>
        <w:pStyle w:val="ListParagraph"/>
        <w:numPr>
          <w:ilvl w:val="1"/>
          <w:numId w:val="2"/>
        </w:numPr>
        <w:spacing w:lineRule="auto" w:line="240" w:before="0" w:after="0"/>
        <w:ind w:left="1418" w:hanging="698"/>
        <w:contextualSpacing/>
        <w:rPr>
          <w:rFonts w:ascii="Times New Roman" w:hAnsi="Times New Roman" w:cs="Times New Roman"/>
          <w:sz w:val="24"/>
          <w:szCs w:val="24"/>
        </w:rPr>
      </w:pPr>
      <w:r>
        <w:rPr>
          <w:rFonts w:cs="Times New Roman" w:ascii="Times New Roman" w:hAnsi="Times New Roman"/>
          <w:sz w:val="24"/>
          <w:szCs w:val="24"/>
        </w:rPr>
        <w:t>77.3. Pārējo darba mašīnu, iekārtu un materiālo līdzekļu iznomāšana un ekspluatācijas līzings;</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81.1. Ēku uzturēšanas un ekspluatācijas darbības;</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81.2. Uzkopšanas darbības;</w:t>
      </w:r>
    </w:p>
    <w:p>
      <w:pPr>
        <w:pStyle w:val="ListParagraph"/>
        <w:numPr>
          <w:ilvl w:val="1"/>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96.09. Citur neklasificēti individuālie pakalpojumi.</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Attiecībā uz jautājumiem, kurus nereglamentē statūti, piemēro Publiskas personas kapitāla daļu un kapitālsabiedrību pārvaldības likuma un Komerclikuma noteikumus.</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Statūtos paredzētos paziņojumus sabiedrības pārvaldes un kontroles institūcijām nosūta pa pastu ierakstītā vēstulē uz adresēm, kuras sabiedrības pārvaldes un kontroles institūciju locekļi paziņojuši valdei, vai parakstītus ar drošu elektronisko parakstu, izmatojot e-pastu vai e-adresi.</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Dalībnieku sapulces dalībniekiem ir tiesības piedalīties un balsot, izmantojot elektroniskos saziņas līdzekļus.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Valdes sēdes dalībniekiem ir tiesības piedalīties un balsot valdes sēdē, izmantojot elektroniskos saziņas līdzekļus.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center"/>
        <w:rPr>
          <w:rFonts w:ascii="Times New Roman" w:hAnsi="Times New Roman" w:cs="Times New Roman"/>
          <w:sz w:val="24"/>
          <w:szCs w:val="24"/>
        </w:rPr>
      </w:pPr>
      <w:r>
        <w:rPr>
          <w:rFonts w:cs="Times New Roman" w:ascii="Times New Roman" w:hAnsi="Times New Roman"/>
          <w:b/>
          <w:sz w:val="24"/>
          <w:szCs w:val="24"/>
        </w:rPr>
        <w:t>Pamatkapitāls un daļa</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Sabiedrības pamatkapitāls ir </w:t>
      </w:r>
      <w:r>
        <w:rPr>
          <w:rFonts w:cs="Times New Roman" w:ascii="Times New Roman" w:hAnsi="Times New Roman"/>
          <w:b/>
          <w:bCs/>
          <w:sz w:val="24"/>
          <w:szCs w:val="24"/>
        </w:rPr>
        <w:t>2 730 038 EUR</w:t>
      </w:r>
      <w:r>
        <w:rPr>
          <w:rFonts w:cs="Times New Roman" w:ascii="Times New Roman" w:hAnsi="Times New Roman"/>
          <w:sz w:val="24"/>
          <w:szCs w:val="24"/>
        </w:rPr>
        <w:t xml:space="preserve">  (divi miljoni septiņi simti trīsdesmit tūkstoši trīsdesmit astoņi euro).</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Sabiedrības pamatkapitāls ir sadalīts </w:t>
      </w:r>
      <w:r>
        <w:rPr>
          <w:rFonts w:cs="Times New Roman" w:ascii="Times New Roman" w:hAnsi="Times New Roman"/>
          <w:b/>
          <w:bCs/>
          <w:sz w:val="24"/>
          <w:szCs w:val="24"/>
        </w:rPr>
        <w:t>2 730 038</w:t>
      </w:r>
      <w:r>
        <w:rPr>
          <w:rFonts w:cs="Times New Roman" w:ascii="Times New Roman" w:hAnsi="Times New Roman"/>
          <w:sz w:val="24"/>
          <w:szCs w:val="24"/>
        </w:rPr>
        <w:t xml:space="preserve">  (divi miljoni septiņi simti trīsdesmit tūkstoši trīsdesmit astoņi euro) kapitāla daļās. Vienas daļas nominālvērtība ir 1 EUR (viens </w:t>
      </w:r>
      <w:r>
        <w:rPr>
          <w:rFonts w:cs="Times New Roman" w:ascii="Times New Roman" w:hAnsi="Times New Roman"/>
          <w:i/>
          <w:sz w:val="24"/>
          <w:szCs w:val="24"/>
        </w:rPr>
        <w:t>euro</w:t>
      </w:r>
      <w:r>
        <w:rPr>
          <w:rFonts w:cs="Times New Roman" w:ascii="Times New Roman" w:hAnsi="Times New Roman"/>
          <w:sz w:val="24"/>
          <w:szCs w:val="24"/>
        </w:rPr>
        <w:t>).</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Sabiedrības kapitāla daļas atsavina Publiskas personas kapitāla daļu un kapitālsabiedrību pārvaldības likumā noteiktajā kārtībā.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center"/>
        <w:rPr>
          <w:rFonts w:ascii="Times New Roman" w:hAnsi="Times New Roman" w:cs="Times New Roman"/>
          <w:b/>
          <w:sz w:val="24"/>
          <w:szCs w:val="24"/>
        </w:rPr>
      </w:pPr>
      <w:r>
        <w:rPr>
          <w:rFonts w:cs="Times New Roman" w:ascii="Times New Roman" w:hAnsi="Times New Roman"/>
          <w:b/>
          <w:sz w:val="24"/>
          <w:szCs w:val="24"/>
        </w:rPr>
        <w:t>Valde</w:t>
      </w:r>
    </w:p>
    <w:p>
      <w:pPr>
        <w:pStyle w:val="ListParagraph"/>
        <w:spacing w:lineRule="auto" w:line="240" w:before="0" w:after="0"/>
        <w:ind w:left="1800" w:hanging="0"/>
        <w:contextualSpacing/>
        <w:rPr>
          <w:rFonts w:ascii="Times New Roman" w:hAnsi="Times New Roman" w:cs="Times New Roman"/>
          <w:b/>
          <w:sz w:val="24"/>
          <w:szCs w:val="24"/>
        </w:rPr>
      </w:pPr>
      <w:r>
        <w:rPr>
          <w:rFonts w:cs="Times New Roman" w:ascii="Times New Roman" w:hAnsi="Times New Roman"/>
          <w:b/>
          <w:sz w:val="24"/>
          <w:szCs w:val="24"/>
        </w:rPr>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Sabiedrības valdes sastāvā ir viens valdes loceklis.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Valdes locekli ievēlē amatā uz pieciem gadiem.</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Papildus likumā noteiktajam, valdei nepieciešama dalībnieku sapulces iepriekšēja piekrišana šādu jautājumu izlemšanai:</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līdzdalības iegūšana citās komercsabiedrībās;</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uzņēmuma iegūšana vai atsavināšana;</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esošo darbības veidu pārtraukšana un jaunu darbības veidu uzsākšana;</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pamatlīdzekļu iegāde vai sabiedrības mantas atsavināšana un norakstīšana, kuru vērība pārsniedz 5000 EUR (</w:t>
      </w:r>
      <w:r>
        <w:rPr>
          <w:rFonts w:eastAsia="Times New Roman" w:cs="Times New Roman" w:ascii="Times New Roman" w:hAnsi="Times New Roman"/>
          <w:iCs/>
          <w:color w:val="000000"/>
          <w:sz w:val="24"/>
          <w:szCs w:val="24"/>
          <w:lang w:eastAsia="lv-LV"/>
        </w:rPr>
        <w:t>pieci tūkstoši</w:t>
      </w:r>
      <w:r>
        <w:rPr>
          <w:rFonts w:eastAsia="Times New Roman" w:cs="Times New Roman" w:ascii="Times New Roman" w:hAnsi="Times New Roman"/>
          <w:i/>
          <w:iCs/>
          <w:color w:val="000000"/>
          <w:sz w:val="24"/>
          <w:szCs w:val="24"/>
          <w:lang w:eastAsia="lv-LV"/>
        </w:rPr>
        <w:t xml:space="preserve"> euro</w:t>
      </w:r>
      <w:r>
        <w:rPr>
          <w:rFonts w:eastAsia="Times New Roman" w:cs="Times New Roman" w:ascii="Times New Roman" w:hAnsi="Times New Roman"/>
          <w:color w:val="000000"/>
          <w:sz w:val="24"/>
          <w:szCs w:val="24"/>
          <w:lang w:eastAsia="lv-LV"/>
        </w:rPr>
        <w:t>);</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aizdevumu vai līzingu ņemšana, ja kopējā saņemamo aizdevumu summa 12 (divpadsmit) mēnešu periodā pārsniedz 15000 EUR (</w:t>
      </w:r>
      <w:r>
        <w:rPr>
          <w:rFonts w:eastAsia="Times New Roman" w:cs="Times New Roman" w:ascii="Times New Roman" w:hAnsi="Times New Roman"/>
          <w:iCs/>
          <w:color w:val="000000"/>
          <w:sz w:val="24"/>
          <w:szCs w:val="24"/>
          <w:lang w:eastAsia="lv-LV"/>
        </w:rPr>
        <w:t>piecpadsmit tūkstoši</w:t>
      </w:r>
      <w:r>
        <w:rPr>
          <w:rFonts w:eastAsia="Times New Roman" w:cs="Times New Roman" w:ascii="Times New Roman" w:hAnsi="Times New Roman"/>
          <w:i/>
          <w:iCs/>
          <w:color w:val="000000"/>
          <w:sz w:val="24"/>
          <w:szCs w:val="24"/>
          <w:lang w:eastAsia="lv-LV"/>
        </w:rPr>
        <w:t xml:space="preserve"> euro</w:t>
      </w:r>
      <w:r>
        <w:rPr>
          <w:rFonts w:eastAsia="Times New Roman" w:cs="Times New Roman" w:ascii="Times New Roman" w:hAnsi="Times New Roman"/>
          <w:color w:val="000000"/>
          <w:sz w:val="24"/>
          <w:szCs w:val="24"/>
          <w:lang w:eastAsia="lv-LV"/>
        </w:rPr>
        <w:t>);</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darījumu veikšanai ar sabiedrības naudas līdzekļiem, līgumu slēgšanai, pilnvaru izdošanai vai citu dokumentu parakstīšanai, ja darījuma summa atsevišķi vai kopumā pārsniedz 15000 EUR (</w:t>
      </w:r>
      <w:r>
        <w:rPr>
          <w:rFonts w:eastAsia="Times New Roman" w:cs="Times New Roman" w:ascii="Times New Roman" w:hAnsi="Times New Roman"/>
          <w:iCs/>
          <w:color w:val="000000"/>
          <w:sz w:val="24"/>
          <w:szCs w:val="24"/>
          <w:lang w:eastAsia="lv-LV"/>
        </w:rPr>
        <w:t>piecpadsmit tūkstoši</w:t>
      </w:r>
      <w:r>
        <w:rPr>
          <w:rFonts w:eastAsia="Times New Roman" w:cs="Times New Roman" w:ascii="Times New Roman" w:hAnsi="Times New Roman"/>
          <w:i/>
          <w:iCs/>
          <w:color w:val="000000"/>
          <w:sz w:val="24"/>
          <w:szCs w:val="24"/>
          <w:lang w:eastAsia="lv-LV"/>
        </w:rPr>
        <w:t xml:space="preserve"> euro</w:t>
      </w:r>
      <w:r>
        <w:rPr>
          <w:rFonts w:eastAsia="Times New Roman" w:cs="Times New Roman" w:ascii="Times New Roman" w:hAnsi="Times New Roman"/>
          <w:color w:val="000000"/>
          <w:sz w:val="24"/>
          <w:szCs w:val="24"/>
          <w:lang w:eastAsia="lv-LV"/>
        </w:rPr>
        <w:t>) vai līdzvērtīgu summu citā valūtā atbilstoši Eiropas Centrālās bankas iepriekšējā darba dienā publicētajam valūtas kursam, izņemot darījumus sabiedrības apstiprinātā budžeta ietvaros;</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debitoru norakstīšanas kārtību;</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nekustamās mantas iegūšana, maiņa, iznomāšana, nodošana bezatlīdzības lietošanā atsavināšana vai apgrūtināšana ar lietu tiesībām;</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filiāļu, struktūrvienību  un pārstāvniecību atvēršana un slēgšana;</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tādu darījumu slēgšana, kuru darbības termiņš pārsniedz piecus gadus;</w:t>
      </w:r>
    </w:p>
    <w:p>
      <w:pPr>
        <w:pStyle w:val="ListParagraph"/>
        <w:numPr>
          <w:ilvl w:val="1"/>
          <w:numId w:val="2"/>
        </w:numPr>
        <w:spacing w:lineRule="atLeast" w:line="276" w:before="0" w:after="0"/>
        <w:ind w:left="1134" w:hanging="567"/>
        <w:contextualSpacing/>
        <w:jc w:val="both"/>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garantiju vai galvojumu izsniegšana sabiedrības vārdā.</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Valde ne retāk kā reizi ceturksnī sniedz atskaiti dalībnieku sapulcei par sabiedrības darbību.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Talsu novada pašvaldības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kapitāla daļu turētāja pārstāvis</w:t>
        <w:tab/>
        <w:tab/>
        <w:tab/>
        <w:tab/>
        <w:tab/>
        <w:tab/>
        <w:t>Ivars Haselbaums</w:t>
      </w:r>
    </w:p>
    <w:p>
      <w:pPr>
        <w:pStyle w:val="Normal"/>
        <w:tabs>
          <w:tab w:val="clear" w:pos="720"/>
          <w:tab w:val="left" w:pos="538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38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387" w:leader="none"/>
        </w:tabs>
        <w:spacing w:lineRule="auto" w:line="240" w:before="0" w:after="0"/>
        <w:jc w:val="center"/>
        <w:rPr>
          <w:rFonts w:ascii="Times New Roman" w:hAnsi="Times New Roman" w:cs="Times New Roman"/>
          <w:i/>
          <w:i/>
          <w:iCs/>
          <w:sz w:val="24"/>
          <w:szCs w:val="24"/>
        </w:rPr>
      </w:pPr>
      <w:bookmarkStart w:id="3" w:name="_Hlk110579148"/>
      <w:r>
        <w:rPr>
          <w:rFonts w:cs="Times New Roman" w:ascii="Times New Roman" w:hAnsi="Times New Roman"/>
          <w:i/>
          <w:iCs/>
          <w:sz w:val="24"/>
          <w:szCs w:val="24"/>
        </w:rPr>
        <w:t>ŠIS DOKUMENTS IR PARAKSTĪTS AR DROŠU ELEKTRONISKO PARAKSTU UN SATUR LAIKA ZĪMOGU</w:t>
      </w:r>
      <w:bookmarkEnd w:id="3"/>
    </w:p>
    <w:sectPr>
      <w:footerReference w:type="default" r:id="rId3"/>
      <w:footerReference w:type="first" r:id="rId4"/>
      <w:type w:val="nextPage"/>
      <w:pgSz w:w="11906" w:h="16838"/>
      <w:pgMar w:left="1800" w:right="1133" w:gutter="0" w:header="0" w:top="1440" w:footer="708" w:bottom="144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 w:name="Times New Roman">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59" w:before="0" w:after="160"/>
      <w:jc w:val="left"/>
      <w:rPr/>
    </w:pPr>
    <w:r>
      <w:rPr/>
      <w:t xml:space="preserve">          </w:t>
    </w:r>
    <w:r>
      <w:rPr/>
      <w:t>Šis dokuments ir parakstīts ar drošu elektronisko parakstu un satur laika zīmogu</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21586679"/>
    </w:sdtPr>
    <w:sdtContent>
      <w:p>
        <w:pPr>
          <w:pStyle w:val="Kjene"/>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3</w:t>
        </w:r>
        <w:r>
          <w:rPr>
            <w:rFonts w:cs="Times New Roman" w:ascii="Times New Roman" w:hAnsi="Times New Roman"/>
          </w:rPr>
          <w:fldChar w:fldCharType="end"/>
        </w:r>
      </w:p>
      <w:p>
        <w:pPr>
          <w:pStyle w:val="Kjene"/>
          <w:rPr/>
        </w:pPr>
        <w:r>
          <w:rPr/>
        </w:r>
      </w:p>
      <w:p>
        <w:pPr>
          <w:pStyle w:val="Normal"/>
          <w:widowControl/>
          <w:bidi w:val="0"/>
          <w:spacing w:lineRule="auto" w:line="259" w:before="0" w:after="160"/>
          <w:jc w:val="left"/>
          <w:rPr/>
        </w:pPr>
        <w:r>
          <w:rPr/>
          <w:t xml:space="preserve">          </w:t>
        </w:r>
        <w:r>
          <w:rPr/>
          <w:t>Šis dokuments ir parakstīts ar drošu elektronisko parakstu un satur laika zīmogu</w:t>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59" w:before="0" w:after="160"/>
      <w:jc w:val="left"/>
      <w:rPr/>
    </w:pPr>
    <w:r>
      <w:rPr/>
      <w:t xml:space="preserve">          </w:t>
    </w:r>
    <w:r>
      <w:rPr/>
      <w:t>Šis dokuments ir parakstīts ar drošu elektronisko parakstu un satur laika zīmogu</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800" w:hanging="720"/>
      </w:pPr>
      <w:rPr>
        <w:b/>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240" w:hanging="108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320" w:hanging="1440"/>
      </w:pPr>
      <w:rPr/>
    </w:lvl>
    <w:lvl w:ilvl="8">
      <w:start w:val="1"/>
      <w:numFmt w:val="decimal"/>
      <w:lvlText w:val="%1.%2.%3.%4.%5.%6.%7.%8.%9."/>
      <w:lvlJc w:val="left"/>
      <w:pPr>
        <w:tabs>
          <w:tab w:val="num" w:pos="0"/>
        </w:tabs>
        <w:ind w:left="5040" w:hanging="18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uiPriority w:val="99"/>
    <w:qFormat/>
    <w:rsid w:val="00c43858"/>
    <w:rPr/>
  </w:style>
  <w:style w:type="character" w:styleId="KjeneRakstz" w:customStyle="1">
    <w:name w:val="Kājene Rakstz."/>
    <w:basedOn w:val="DefaultParagraphFont"/>
    <w:uiPriority w:val="99"/>
    <w:qFormat/>
    <w:rsid w:val="00c43858"/>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rPr>
  </w:style>
  <w:style w:type="paragraph" w:styleId="ListParagraph">
    <w:name w:val="List Paragraph"/>
    <w:basedOn w:val="Normal"/>
    <w:uiPriority w:val="34"/>
    <w:qFormat/>
    <w:rsid w:val="00997f54"/>
    <w:pPr>
      <w:spacing w:before="0" w:after="160"/>
      <w:ind w:left="720" w:hanging="0"/>
      <w:contextualSpacing/>
    </w:pPr>
    <w:rPr/>
  </w:style>
  <w:style w:type="paragraph" w:styleId="Galveneunkjene">
    <w:name w:val="Galvene un kājene"/>
    <w:basedOn w:val="Normal"/>
    <w:qFormat/>
    <w:pPr/>
    <w:rPr/>
  </w:style>
  <w:style w:type="paragraph" w:styleId="Galvene">
    <w:name w:val="Header"/>
    <w:basedOn w:val="Normal"/>
    <w:link w:val="GalveneRakstz"/>
    <w:uiPriority w:val="99"/>
    <w:unhideWhenUsed/>
    <w:rsid w:val="00c43858"/>
    <w:pPr>
      <w:tabs>
        <w:tab w:val="clear" w:pos="720"/>
        <w:tab w:val="center" w:pos="4153" w:leader="none"/>
        <w:tab w:val="right" w:pos="8306" w:leader="none"/>
      </w:tabs>
      <w:spacing w:lineRule="auto" w:line="240" w:before="0" w:after="0"/>
    </w:pPr>
    <w:rPr/>
  </w:style>
  <w:style w:type="paragraph" w:styleId="Kjene">
    <w:name w:val="Footer"/>
    <w:basedOn w:val="Normal"/>
    <w:link w:val="KjeneRakstz"/>
    <w:uiPriority w:val="99"/>
    <w:unhideWhenUsed/>
    <w:rsid w:val="00c43858"/>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LibreOffice/7.5.0.3$Windows_X86_64 LibreOffice_project/c21113d003cd3efa8c53188764377a8272d9d6de</Application>
  <AppVersion>15.0000</AppVersion>
  <Pages>6</Pages>
  <Words>627</Words>
  <Characters>4356</Characters>
  <CharactersWithSpaces>4916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2023-01-25T06:48:00Z</dcterms:created>
  <dc:creator>Ivars Haselbaums</dc:creator>
  <dc:description/>
  <dc:language>lv-LV</dc:language>
  <cp:lastModifiedBy>Malda Pētersone</cp:lastModifiedBy>
  <dcterms:modified xsi:type="dcterms:W3CDTF">2023-01-26T07:16:00Z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